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9C3F" w14:textId="77777777" w:rsidR="006761F1" w:rsidRDefault="006761F1" w:rsidP="00496607">
      <w:pPr>
        <w:jc w:val="center"/>
        <w:rPr>
          <w:lang w:val="el-GR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val="el-GR" w:eastAsia="el-GR"/>
        </w:rPr>
        <w:drawing>
          <wp:inline distT="0" distB="0" distL="0" distR="0" wp14:anchorId="402519B6" wp14:editId="6A583E18">
            <wp:extent cx="2274073" cy="675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56"/>
                    <a:stretch/>
                  </pic:blipFill>
                  <pic:spPr bwMode="auto">
                    <a:xfrm>
                      <a:off x="0" y="0"/>
                      <a:ext cx="2274073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3DD79" w14:textId="77777777" w:rsidR="00D530B1" w:rsidRDefault="00D530B1" w:rsidP="006761F1">
      <w:pPr>
        <w:pStyle w:val="Web"/>
        <w:spacing w:before="0" w:beforeAutospacing="0" w:after="160" w:afterAutospacing="0"/>
        <w:jc w:val="center"/>
        <w:rPr>
          <w:rFonts w:ascii="Palatino Linotype" w:hAnsi="Palatino Linotype" w:cs="Calibri"/>
          <w:b/>
          <w:bCs/>
          <w:color w:val="000000"/>
          <w:sz w:val="22"/>
          <w:szCs w:val="22"/>
          <w:lang w:val="el-GR"/>
        </w:rPr>
      </w:pPr>
    </w:p>
    <w:p w14:paraId="571D0A9A" w14:textId="3D146983" w:rsidR="00D530B1" w:rsidRDefault="00D530B1" w:rsidP="006761F1">
      <w:pPr>
        <w:pStyle w:val="Web"/>
        <w:spacing w:before="0" w:beforeAutospacing="0" w:after="160" w:afterAutospacing="0"/>
        <w:jc w:val="center"/>
        <w:rPr>
          <w:rFonts w:ascii="Palatino Linotype" w:hAnsi="Palatino Linotype" w:cs="Calibri"/>
          <w:b/>
          <w:bCs/>
          <w:color w:val="000000"/>
          <w:sz w:val="22"/>
          <w:szCs w:val="22"/>
          <w:lang w:val="el-GR"/>
        </w:rPr>
      </w:pPr>
      <w:r w:rsidRPr="00D530B1">
        <w:rPr>
          <w:rFonts w:ascii="Palatino Linotype" w:hAnsi="Palatino Linotype" w:cs="Calibri"/>
          <w:b/>
          <w:bCs/>
          <w:color w:val="000000"/>
          <w:sz w:val="22"/>
          <w:szCs w:val="22"/>
          <w:lang w:val="el-GR"/>
        </w:rPr>
        <w:t>ΔΕΛΤΙΟ ΤΥΠΟΥ</w:t>
      </w:r>
      <w:r w:rsidR="006761F1" w:rsidRPr="00D530B1">
        <w:rPr>
          <w:rFonts w:ascii="Palatino Linotype" w:hAnsi="Palatino Linotype" w:cs="Calibri"/>
          <w:b/>
          <w:bCs/>
          <w:color w:val="000000"/>
          <w:sz w:val="22"/>
          <w:szCs w:val="22"/>
          <w:lang w:val="el-GR"/>
        </w:rPr>
        <w:t xml:space="preserve">  </w:t>
      </w:r>
    </w:p>
    <w:p w14:paraId="53209869" w14:textId="77777777" w:rsidR="00D530B1" w:rsidRPr="00D530B1" w:rsidRDefault="00D530B1" w:rsidP="006761F1">
      <w:pPr>
        <w:pStyle w:val="Web"/>
        <w:spacing w:before="0" w:beforeAutospacing="0" w:after="160" w:afterAutospacing="0"/>
        <w:jc w:val="center"/>
        <w:rPr>
          <w:rFonts w:ascii="Palatino Linotype" w:hAnsi="Palatino Linotype" w:cs="Calibri"/>
          <w:b/>
          <w:bCs/>
          <w:color w:val="000000"/>
          <w:sz w:val="22"/>
          <w:szCs w:val="22"/>
          <w:lang w:val="el-GR"/>
        </w:rPr>
      </w:pPr>
    </w:p>
    <w:p w14:paraId="2FBE72DE" w14:textId="30D8B210" w:rsidR="006761F1" w:rsidRDefault="00D530B1" w:rsidP="006761F1">
      <w:pPr>
        <w:pStyle w:val="Web"/>
        <w:spacing w:before="0" w:beforeAutospacing="0" w:after="160" w:afterAutospacing="0"/>
        <w:jc w:val="center"/>
        <w:rPr>
          <w:rFonts w:ascii="Palatino Linotype" w:hAnsi="Palatino Linotype" w:cs="Calibri"/>
          <w:b/>
          <w:bCs/>
          <w:color w:val="000000"/>
          <w:sz w:val="22"/>
          <w:szCs w:val="22"/>
          <w:lang w:val="el-GR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  <w:lang w:val="el-GR"/>
        </w:rPr>
        <w:t>ΨΗΦΙΣΜΑ ΣΥΓΚΛΗΤΟΥ ΤΟΥ ΠΑΝΕΠΙΣΤΗΜΙΟΥ ΑΙΓΑΙΟΥ</w:t>
      </w:r>
    </w:p>
    <w:p w14:paraId="0433CB62" w14:textId="77777777" w:rsidR="00D530B1" w:rsidRDefault="00D530B1" w:rsidP="006761F1">
      <w:pPr>
        <w:pStyle w:val="Web"/>
        <w:spacing w:before="0" w:beforeAutospacing="0" w:after="160" w:afterAutospacing="0"/>
        <w:jc w:val="center"/>
        <w:rPr>
          <w:rFonts w:ascii="Palatino Linotype" w:hAnsi="Palatino Linotype" w:cs="Calibri"/>
          <w:b/>
          <w:bCs/>
          <w:color w:val="000000"/>
          <w:sz w:val="22"/>
          <w:szCs w:val="22"/>
          <w:lang w:val="el-GR"/>
        </w:rPr>
      </w:pPr>
      <w:bookmarkStart w:id="0" w:name="_GoBack"/>
      <w:bookmarkEnd w:id="0"/>
    </w:p>
    <w:p w14:paraId="0801D6A8" w14:textId="790ED589" w:rsidR="00D238A9" w:rsidRPr="00D238A9" w:rsidRDefault="00D238A9" w:rsidP="00D238A9">
      <w:pPr>
        <w:pStyle w:val="LO-Normal"/>
        <w:suppressAutoHyphens w:val="0"/>
        <w:spacing w:before="100" w:after="100"/>
        <w:jc w:val="both"/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</w:pP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 xml:space="preserve">Η Σύγκλητος του Πανεπιστημίου Αιγαίου στην </w:t>
      </w:r>
      <w:r w:rsidR="00D530B1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>τακτική</w:t>
      </w: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 xml:space="preserve"> συνεδρίαση της 28ης Φεβρουαρίου μετά από διεξοδική συζήτηση πάνω στα οικονομικά των πανεπιστημιακών και των πανεπιστημίων, κατέληξε ομόφωνα να ζητήσει από το ΥΠΑΙΘ τα παρακάτω:</w:t>
      </w:r>
    </w:p>
    <w:p w14:paraId="4994966A" w14:textId="20E91269" w:rsidR="00D238A9" w:rsidRPr="00D238A9" w:rsidRDefault="00D238A9" w:rsidP="00D238A9">
      <w:pPr>
        <w:pStyle w:val="LO-Normal"/>
        <w:numPr>
          <w:ilvl w:val="0"/>
          <w:numId w:val="2"/>
        </w:numPr>
        <w:suppressAutoHyphens w:val="0"/>
        <w:spacing w:before="100" w:after="100"/>
        <w:jc w:val="both"/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</w:pP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 xml:space="preserve">Να δρομολογηθεί εντός του 2023 η θέσπιση ενός νέου μισθολογίου των μελών ΔΕΠ σε συμμόρφωση με την απόφαση του </w:t>
      </w: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>Συμβουλίου</w:t>
      </w: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 xml:space="preserve"> της </w:t>
      </w:r>
      <w:proofErr w:type="spellStart"/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>Επικρατείας</w:t>
      </w:r>
      <w:proofErr w:type="spellEnd"/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 xml:space="preserve"> </w:t>
      </w:r>
      <w:r w:rsidRPr="00D238A9">
        <w:rPr>
          <w:rStyle w:val="HTML"/>
          <w:rFonts w:ascii="Palatino Linotype" w:eastAsia="Noto Sans CJK SC Regular" w:hAnsi="Palatino Linotype" w:cs="Calibri"/>
          <w:color w:val="000000"/>
          <w:sz w:val="22"/>
          <w:szCs w:val="22"/>
        </w:rPr>
        <w:t>(1911/2022)</w:t>
      </w: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 xml:space="preserve"> για την αποκατάσταση των μισθών στα προ Αυγούστου 2012 επίπεδα και την οριστική επίλυση του προβλήματος, αναγνωρίζοντας και σε οικονομικό επίπεδο το δημόσιο λειτούργημα που επιτελούν.</w:t>
      </w:r>
    </w:p>
    <w:p w14:paraId="645B40DD" w14:textId="77777777" w:rsidR="00D238A9" w:rsidRPr="00D238A9" w:rsidRDefault="00D238A9" w:rsidP="00D238A9">
      <w:pPr>
        <w:pStyle w:val="LO-Normal"/>
        <w:numPr>
          <w:ilvl w:val="0"/>
          <w:numId w:val="2"/>
        </w:numPr>
        <w:suppressAutoHyphens w:val="0"/>
        <w:spacing w:before="100" w:after="100"/>
        <w:jc w:val="both"/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</w:pP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 xml:space="preserve">Να προχωρήσει στην καταβολή των μισθολογικών διαφορών που προκύπτουν μετά την πρόσφατη απόφαση του Συμβουλίου της Επικρατείας, αναδρομικά προς όλα τα μέλη Δ.Ε.Π., ανεξαρτήτως αν προσέφυγαν ή όχι στη δικαιοσύνη, για λόγους ισονομίας. </w:t>
      </w:r>
    </w:p>
    <w:p w14:paraId="1BD44EC1" w14:textId="77777777" w:rsidR="00D238A9" w:rsidRPr="00D238A9" w:rsidRDefault="00D238A9" w:rsidP="00D238A9">
      <w:pPr>
        <w:pStyle w:val="LO-Normal"/>
        <w:numPr>
          <w:ilvl w:val="0"/>
          <w:numId w:val="2"/>
        </w:numPr>
        <w:suppressAutoHyphens w:val="0"/>
        <w:spacing w:before="100" w:after="100"/>
        <w:jc w:val="both"/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</w:pP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>Να καταβληθεί στα μέλη ΔΕΠ που εργάζονται σε παραμεθόριες περιοχές το «Επίδομα Απομακρυσμένων – Παραμεθορίων Περιοχών», που εκκρεμεί από το 1997, ύψους 100€ για όλες τις βαθμίδες μελών ΔΕΠ. Επισημαίνεται ότι αυτό το επίδομα καταβάλλεται σε όλες τις κατηγορίες δημοσίων υπαλλήλων και λειτουργών που εργάζονται στις παραμεθόριες περιοχές.</w:t>
      </w:r>
    </w:p>
    <w:p w14:paraId="3ADE0E3E" w14:textId="77777777" w:rsidR="00D238A9" w:rsidRPr="00D238A9" w:rsidRDefault="00D238A9" w:rsidP="00D238A9">
      <w:pPr>
        <w:pStyle w:val="LO-Normal"/>
        <w:numPr>
          <w:ilvl w:val="0"/>
          <w:numId w:val="2"/>
        </w:numPr>
        <w:suppressAutoHyphens w:val="0"/>
        <w:spacing w:before="100" w:after="100"/>
        <w:jc w:val="both"/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</w:pP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 xml:space="preserve">Να προχωρήσει σε αύξηση της χρηματοδότησης των πανεπιστημίων και της έρευνας ώστε να καλύπτονται πλήρως οι λειτουργικές ανάγκες τους και να ενισχυθεί η υλικοτεχνική τους υποδομή και η έρευνα. Ειδικά δε για το Πανεπιστήμιο Αιγαίου να ληφθεί υπόψη ότι οι ανάγκες είναι ιδιαίτερα αυξημένες λόγω του </w:t>
      </w:r>
      <w:proofErr w:type="spellStart"/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>πολυνησιωτικού</w:t>
      </w:r>
      <w:proofErr w:type="spellEnd"/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 xml:space="preserve"> του χαρακτήρα. </w:t>
      </w:r>
    </w:p>
    <w:p w14:paraId="73D528FA" w14:textId="77777777" w:rsidR="00D238A9" w:rsidRPr="00D238A9" w:rsidRDefault="00D238A9" w:rsidP="00D238A9">
      <w:pPr>
        <w:pStyle w:val="LO-Normal"/>
        <w:numPr>
          <w:ilvl w:val="0"/>
          <w:numId w:val="2"/>
        </w:numPr>
        <w:suppressAutoHyphens w:val="0"/>
        <w:spacing w:before="100" w:after="100"/>
        <w:jc w:val="both"/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</w:pPr>
      <w:r w:rsidRPr="00D238A9">
        <w:rPr>
          <w:rFonts w:ascii="Palatino Linotype" w:eastAsia="Times New Roman" w:hAnsi="Palatino Linotype" w:cs="Calibri"/>
          <w:kern w:val="0"/>
          <w:sz w:val="22"/>
          <w:szCs w:val="22"/>
          <w:lang w:eastAsia="en-US" w:bidi="ar-SA"/>
        </w:rPr>
        <w:t>Να δοθούν πιστώσεις για νέες θέσεις ΔΕΠ, ΕΕΠ, ΕΔΙΠ και ΕΤΕΠ καθώς και διοικητικού - τεχνικού προσωπικού που θα καλύπτουν πλήρως τις αποχωρήσεις κάθε έτους και θα συμπληρώνουν τα κενά της προηγούμενης περιόδου κατά την οποία οι θέσεις ήταν μηδενικές.</w:t>
      </w:r>
    </w:p>
    <w:p w14:paraId="6F837339" w14:textId="77777777" w:rsidR="00D238A9" w:rsidRDefault="00D238A9" w:rsidP="00D238A9">
      <w:pPr>
        <w:jc w:val="right"/>
        <w:rPr>
          <w:rFonts w:ascii="Calibri" w:hAnsi="Calibri"/>
          <w:lang w:val="el-GR"/>
        </w:rPr>
      </w:pPr>
    </w:p>
    <w:p w14:paraId="75B664AD" w14:textId="140E92CC" w:rsidR="00D238A9" w:rsidRPr="00D530B1" w:rsidRDefault="00D238A9" w:rsidP="00D238A9">
      <w:pPr>
        <w:jc w:val="right"/>
        <w:rPr>
          <w:rFonts w:ascii="Palatino Linotype" w:hAnsi="Palatino Linotype"/>
          <w:lang w:val="el-GR"/>
        </w:rPr>
      </w:pPr>
      <w:r w:rsidRPr="00D530B1">
        <w:rPr>
          <w:rFonts w:ascii="Palatino Linotype" w:hAnsi="Palatino Linotype"/>
          <w:lang w:val="el-GR"/>
        </w:rPr>
        <w:t>Η Σύγκλη</w:t>
      </w:r>
      <w:r w:rsidR="00D530B1" w:rsidRPr="00D530B1">
        <w:rPr>
          <w:rFonts w:ascii="Palatino Linotype" w:hAnsi="Palatino Linotype"/>
          <w:lang w:val="el-GR"/>
        </w:rPr>
        <w:t>τος του Πανεπιστημίου Αιγαίου, 28</w:t>
      </w:r>
      <w:r w:rsidRPr="00D530B1">
        <w:rPr>
          <w:rFonts w:ascii="Palatino Linotype" w:hAnsi="Palatino Linotype"/>
          <w:lang w:val="el-GR"/>
        </w:rPr>
        <w:t>.0</w:t>
      </w:r>
      <w:r w:rsidR="00D530B1" w:rsidRPr="00D530B1">
        <w:rPr>
          <w:rFonts w:ascii="Palatino Linotype" w:hAnsi="Palatino Linotype"/>
          <w:lang w:val="el-GR"/>
        </w:rPr>
        <w:t>2.2023</w:t>
      </w:r>
    </w:p>
    <w:p w14:paraId="1A300B10" w14:textId="77777777" w:rsidR="00613FE9" w:rsidRPr="007F3C86" w:rsidRDefault="00613FE9" w:rsidP="00711481">
      <w:pPr>
        <w:jc w:val="both"/>
        <w:rPr>
          <w:rFonts w:ascii="Palatino Linotype" w:hAnsi="Palatino Linotype"/>
          <w:lang w:val="el-GR"/>
        </w:rPr>
      </w:pPr>
    </w:p>
    <w:sectPr w:rsidR="00613FE9" w:rsidRPr="007F3C86" w:rsidSect="00D530B1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:onum=1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52E"/>
    <w:multiLevelType w:val="hybridMultilevel"/>
    <w:tmpl w:val="8F309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148EE"/>
    <w:multiLevelType w:val="multilevel"/>
    <w:tmpl w:val="48F41A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F1"/>
    <w:rsid w:val="00160C11"/>
    <w:rsid w:val="001C71A0"/>
    <w:rsid w:val="00263E6A"/>
    <w:rsid w:val="002A20A3"/>
    <w:rsid w:val="002A7AA9"/>
    <w:rsid w:val="00350DB0"/>
    <w:rsid w:val="003A2CE5"/>
    <w:rsid w:val="00424FB9"/>
    <w:rsid w:val="00496607"/>
    <w:rsid w:val="005D03D4"/>
    <w:rsid w:val="005D6757"/>
    <w:rsid w:val="00613FE9"/>
    <w:rsid w:val="006761F1"/>
    <w:rsid w:val="006A69FF"/>
    <w:rsid w:val="006E002E"/>
    <w:rsid w:val="00711481"/>
    <w:rsid w:val="0073093B"/>
    <w:rsid w:val="00736D45"/>
    <w:rsid w:val="007D0EC0"/>
    <w:rsid w:val="007F3C86"/>
    <w:rsid w:val="0087762A"/>
    <w:rsid w:val="00896AAA"/>
    <w:rsid w:val="008C02D0"/>
    <w:rsid w:val="0091075F"/>
    <w:rsid w:val="00936B3E"/>
    <w:rsid w:val="009859F4"/>
    <w:rsid w:val="00B178CA"/>
    <w:rsid w:val="00B9722B"/>
    <w:rsid w:val="00C54BD3"/>
    <w:rsid w:val="00CD5D6F"/>
    <w:rsid w:val="00CF25F9"/>
    <w:rsid w:val="00D078CE"/>
    <w:rsid w:val="00D118A6"/>
    <w:rsid w:val="00D238A9"/>
    <w:rsid w:val="00D530B1"/>
    <w:rsid w:val="00D87D1B"/>
    <w:rsid w:val="00DE6AC1"/>
    <w:rsid w:val="00E04F88"/>
    <w:rsid w:val="00E10810"/>
    <w:rsid w:val="00E92077"/>
    <w:rsid w:val="00EF1BB8"/>
    <w:rsid w:val="00EF5472"/>
    <w:rsid w:val="00F415FC"/>
    <w:rsid w:val="00F53448"/>
    <w:rsid w:val="00F563F1"/>
    <w:rsid w:val="00F62BB9"/>
    <w:rsid w:val="00F62E11"/>
    <w:rsid w:val="00F765D7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78E6"/>
  <w15:chartTrackingRefBased/>
  <w15:docId w15:val="{6DB29CEF-4742-46FB-8CDF-E5F35AD9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7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C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1">
    <w:name w:val="s1"/>
    <w:basedOn w:val="a0"/>
    <w:rsid w:val="00EF1BB8"/>
  </w:style>
  <w:style w:type="paragraph" w:customStyle="1" w:styleId="rtejustify">
    <w:name w:val="rtejustify"/>
    <w:basedOn w:val="a"/>
    <w:rsid w:val="006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424FB9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a4">
    <w:name w:val="Strong"/>
    <w:basedOn w:val="a0"/>
    <w:uiPriority w:val="22"/>
    <w:qFormat/>
    <w:rsid w:val="00F53448"/>
    <w:rPr>
      <w:b/>
      <w:bCs/>
    </w:rPr>
  </w:style>
  <w:style w:type="character" w:styleId="HTML">
    <w:name w:val="HTML Typewriter"/>
    <w:basedOn w:val="a0"/>
    <w:qFormat/>
    <w:rsid w:val="00D238A9"/>
    <w:rPr>
      <w:rFonts w:ascii="Courier New" w:eastAsia="Times New Roman" w:hAnsi="Courier New" w:cs="Courier New"/>
      <w:sz w:val="20"/>
      <w:szCs w:val="20"/>
    </w:rPr>
  </w:style>
  <w:style w:type="paragraph" w:customStyle="1" w:styleId="LO-Normal">
    <w:name w:val="LO-Normal"/>
    <w:qFormat/>
    <w:rsid w:val="00D238A9"/>
    <w:pPr>
      <w:suppressAutoHyphens/>
      <w:spacing w:after="0" w:line="240" w:lineRule="auto"/>
    </w:pPr>
    <w:rPr>
      <w:rFonts w:ascii="Calibri:onum=1" w:eastAsia="Noto Sans CJK SC Regular" w:hAnsi="Calibri:onum=1" w:cs="Lohit Devanagari"/>
      <w:kern w:val="2"/>
      <w:sz w:val="24"/>
      <w:szCs w:val="24"/>
      <w:lang w:val="el-GR" w:eastAsia="zh-CN" w:bidi="hi-IN"/>
    </w:rPr>
  </w:style>
  <w:style w:type="paragraph" w:styleId="a5">
    <w:name w:val="Balloon Text"/>
    <w:basedOn w:val="a"/>
    <w:link w:val="Char"/>
    <w:uiPriority w:val="99"/>
    <w:semiHidden/>
    <w:unhideWhenUsed/>
    <w:rsid w:val="00D2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2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Kiale Eleftheria</dc:creator>
  <cp:keywords/>
  <dc:description/>
  <cp:lastModifiedBy>Malamatina Nina</cp:lastModifiedBy>
  <cp:revision>3</cp:revision>
  <cp:lastPrinted>2023-03-01T08:12:00Z</cp:lastPrinted>
  <dcterms:created xsi:type="dcterms:W3CDTF">2023-03-01T08:10:00Z</dcterms:created>
  <dcterms:modified xsi:type="dcterms:W3CDTF">2023-03-01T08:29:00Z</dcterms:modified>
</cp:coreProperties>
</file>