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7" w:type="dxa"/>
        <w:jc w:val="center"/>
        <w:tblLayout w:type="fixed"/>
        <w:tblCellMar>
          <w:left w:w="0" w:type="dxa"/>
          <w:right w:w="0" w:type="dxa"/>
        </w:tblCellMar>
        <w:tblLook w:val="01E0" w:firstRow="1" w:lastRow="1" w:firstColumn="1" w:lastColumn="1" w:noHBand="0" w:noVBand="0"/>
      </w:tblPr>
      <w:tblGrid>
        <w:gridCol w:w="5940"/>
        <w:gridCol w:w="3367"/>
      </w:tblGrid>
      <w:tr w:rsidR="004803C6" w:rsidRPr="00141B4F" w:rsidTr="00FC3534">
        <w:trPr>
          <w:jc w:val="center"/>
        </w:trPr>
        <w:tc>
          <w:tcPr>
            <w:tcW w:w="5940" w:type="dxa"/>
          </w:tcPr>
          <w:p w:rsidR="004803C6" w:rsidRPr="00141B4F" w:rsidRDefault="004803C6" w:rsidP="004B71A9">
            <w:pPr>
              <w:rPr>
                <w:rFonts w:ascii="Tahoma" w:hAnsi="Tahoma" w:cs="Tahoma"/>
                <w:b/>
                <w:sz w:val="20"/>
                <w:szCs w:val="20"/>
                <w:u w:val="single"/>
              </w:rPr>
            </w:pPr>
            <w:r>
              <w:rPr>
                <w:rFonts w:ascii="Tahoma" w:hAnsi="Tahoma" w:cs="Tahoma"/>
                <w:b/>
                <w:sz w:val="20"/>
                <w:szCs w:val="20"/>
                <w:u w:val="single"/>
              </w:rPr>
              <w:t>ΚΕΝΤΡΙ</w:t>
            </w:r>
            <w:r w:rsidRPr="00141B4F">
              <w:rPr>
                <w:rFonts w:ascii="Tahoma" w:hAnsi="Tahoma" w:cs="Tahoma"/>
                <w:b/>
                <w:sz w:val="20"/>
                <w:szCs w:val="20"/>
                <w:u w:val="single"/>
              </w:rPr>
              <w:t xml:space="preserve">ΚΗ ΔΙΕΥΘΥΝΣΗ </w:t>
            </w:r>
            <w:r>
              <w:rPr>
                <w:rFonts w:ascii="Tahoma" w:hAnsi="Tahoma" w:cs="Tahoma"/>
                <w:b/>
                <w:sz w:val="20"/>
                <w:szCs w:val="20"/>
                <w:u w:val="single"/>
              </w:rPr>
              <w:t>ΤΕΧΝΙΚΩΝ ΥΠΗΡΕΣΙΩΝ</w:t>
            </w:r>
          </w:p>
        </w:tc>
        <w:tc>
          <w:tcPr>
            <w:tcW w:w="3367" w:type="dxa"/>
          </w:tcPr>
          <w:p w:rsidR="004803C6" w:rsidRPr="00816B36" w:rsidRDefault="004803C6" w:rsidP="009236A4">
            <w:pPr>
              <w:jc w:val="center"/>
              <w:rPr>
                <w:rFonts w:ascii="Tahoma" w:hAnsi="Tahoma" w:cs="Tahoma"/>
                <w:b/>
                <w:sz w:val="20"/>
                <w:szCs w:val="20"/>
              </w:rPr>
            </w:pPr>
          </w:p>
        </w:tc>
      </w:tr>
      <w:tr w:rsidR="004803C6" w:rsidRPr="00141B4F" w:rsidTr="0069516F">
        <w:trPr>
          <w:jc w:val="center"/>
        </w:trPr>
        <w:tc>
          <w:tcPr>
            <w:tcW w:w="9307" w:type="dxa"/>
            <w:gridSpan w:val="2"/>
          </w:tcPr>
          <w:p w:rsidR="004803C6" w:rsidRPr="00141B4F" w:rsidRDefault="004803C6" w:rsidP="004B71A9">
            <w:pPr>
              <w:rPr>
                <w:rFonts w:ascii="Tahoma" w:hAnsi="Tahoma" w:cs="Tahoma"/>
                <w:b/>
                <w:sz w:val="18"/>
                <w:szCs w:val="18"/>
              </w:rPr>
            </w:pPr>
          </w:p>
        </w:tc>
      </w:tr>
    </w:tbl>
    <w:p w:rsidR="004803C6" w:rsidRPr="00D2775C" w:rsidRDefault="004803C6" w:rsidP="0064597A">
      <w:pPr>
        <w:ind w:right="-154"/>
        <w:jc w:val="both"/>
        <w:rPr>
          <w:b/>
          <w:bCs/>
        </w:rPr>
      </w:pPr>
      <w:r w:rsidRPr="00CE3E73">
        <w:rPr>
          <w:b/>
        </w:rPr>
        <w:t>ΘΕΜΑ</w:t>
      </w:r>
      <w:r>
        <w:t xml:space="preserve">: «Διενέργεια κλήρωσης για τη συγκρότηση Επιτροπής </w:t>
      </w:r>
      <w:r w:rsidR="006B4EA9">
        <w:t>Προσωρινής και Οριστικής Παραλαβής των άρθρων</w:t>
      </w:r>
      <w:r>
        <w:t xml:space="preserve"> </w:t>
      </w:r>
      <w:r w:rsidR="004F7BF4">
        <w:t>170</w:t>
      </w:r>
      <w:r w:rsidR="006B4EA9">
        <w:t xml:space="preserve"> &amp; </w:t>
      </w:r>
      <w:r w:rsidR="004F7BF4">
        <w:t>172</w:t>
      </w:r>
      <w:r>
        <w:t xml:space="preserve"> του ν.</w:t>
      </w:r>
      <w:r w:rsidR="004F7BF4">
        <w:t>4412/2016</w:t>
      </w:r>
      <w:r>
        <w:t xml:space="preserve"> «</w:t>
      </w:r>
      <w:r w:rsidR="004F7BF4">
        <w:t>Δημόσιες συμβάσεις Έργων, Προμηθειών και Υπηρεσιών (προσαρμογή στις Οδηγίες 2014/24/ΕΕ και  2014/25/ΕΕ)</w:t>
      </w:r>
      <w:r>
        <w:t xml:space="preserve">», που αφορά την </w:t>
      </w:r>
      <w:r w:rsidR="006B4EA9">
        <w:t>παραλαβή</w:t>
      </w:r>
      <w:r w:rsidR="004F7BF4">
        <w:t xml:space="preserve"> του έργου : </w:t>
      </w:r>
      <w:r w:rsidR="00D2775C" w:rsidRPr="00D2775C">
        <w:rPr>
          <w:b/>
          <w:bCs/>
        </w:rPr>
        <w:t>«</w:t>
      </w:r>
      <w:r w:rsidR="00EA7CFB" w:rsidRPr="00EA7CFB">
        <w:rPr>
          <w:b/>
          <w:bCs/>
          <w:i/>
          <w:iCs/>
        </w:rPr>
        <w:t>Επισκευή Κτιρίου Δ΄ (Κυλικείου) του Πανεπιστημίου Αιγαίου στη Ρόδο</w:t>
      </w:r>
      <w:r w:rsidR="00D2775C">
        <w:rPr>
          <w:b/>
          <w:bCs/>
        </w:rPr>
        <w:t xml:space="preserve">» </w:t>
      </w:r>
      <w:r>
        <w:t>σύμφωνα με το άρθρο 26 του Ν.4024/201</w:t>
      </w:r>
      <w:r w:rsidR="002E11BC">
        <w:t xml:space="preserve">1 και σε εφαρμογή της με </w:t>
      </w:r>
      <w:proofErr w:type="spellStart"/>
      <w:r w:rsidR="00247A7C">
        <w:t>Α</w:t>
      </w:r>
      <w:r w:rsidR="002E11BC">
        <w:t>ριθμ.</w:t>
      </w:r>
      <w:r>
        <w:t>Πρωτ.ΔΙΣΚΠΟ</w:t>
      </w:r>
      <w:proofErr w:type="spellEnd"/>
      <w:r>
        <w:t>/Φ.18/οικ.21526/4.11.2011 ε</w:t>
      </w:r>
      <w:bookmarkStart w:id="0" w:name="_GoBack"/>
      <w:bookmarkEnd w:id="0"/>
      <w:r>
        <w:t>γκυκλίου του Υπουργείου Διοικητικής Μεταρρύθμισης &amp; Ηλεκτρονικής Διακυβέρνησης με θέμα «Συγκρότηση συλλογικών οργάνων διοίκησης και ορισμός μελών τους με κλήρωση» ΦΕΚ 226 Α΄ όπως τροποποιήθηκαν, συμπληρώθηκαν και ισχύουν σήμερα»</w:t>
      </w:r>
      <w:r w:rsidR="00057E0A">
        <w:t>.</w:t>
      </w:r>
      <w:r>
        <w:t xml:space="preserve">    </w:t>
      </w:r>
    </w:p>
    <w:p w:rsidR="004803C6" w:rsidRPr="007D3159" w:rsidRDefault="004803C6" w:rsidP="0069516F">
      <w:pPr>
        <w:jc w:val="both"/>
        <w:rPr>
          <w:b/>
          <w:lang w:val="en-US"/>
        </w:rPr>
      </w:pPr>
      <w:r w:rsidRPr="00CE3E73">
        <w:rPr>
          <w:b/>
        </w:rPr>
        <w:t xml:space="preserve">ΓΝΩΣΤΟΠΟΙΗΣΗ  </w:t>
      </w:r>
      <w:r w:rsidR="007D3159">
        <w:rPr>
          <w:b/>
          <w:lang w:val="en-US"/>
        </w:rPr>
        <w:t xml:space="preserve"> </w:t>
      </w:r>
    </w:p>
    <w:p w:rsidR="004803C6" w:rsidRDefault="004803C6" w:rsidP="0069516F">
      <w:pPr>
        <w:jc w:val="both"/>
      </w:pPr>
      <w:r>
        <w:t xml:space="preserve">Έχοντας υπόψη : </w:t>
      </w:r>
    </w:p>
    <w:p w:rsidR="004803C6" w:rsidRDefault="004803C6" w:rsidP="00CE3E73">
      <w:pPr>
        <w:pStyle w:val="a3"/>
        <w:numPr>
          <w:ilvl w:val="0"/>
          <w:numId w:val="1"/>
        </w:numPr>
        <w:jc w:val="both"/>
      </w:pPr>
      <w:r>
        <w:t xml:space="preserve">Τις διατάξεις του άρθρου 26 «Συγκρότηση συλλογικών οργάνων της διοίκησης» του Ν. 4024/2011, (ΦΕΚ 226/Α΄/27-10-2011), </w:t>
      </w:r>
    </w:p>
    <w:p w:rsidR="004803C6" w:rsidRDefault="004803C6" w:rsidP="00CE3E73">
      <w:pPr>
        <w:pStyle w:val="a3"/>
        <w:numPr>
          <w:ilvl w:val="0"/>
          <w:numId w:val="1"/>
        </w:numPr>
        <w:jc w:val="both"/>
      </w:pPr>
      <w:r>
        <w:t xml:space="preserve">Την αριθ. ΔΙΣΚΠΟ/Φ.18/οικ.21526/4-11-2011 Εγκύκλιο του Υπουργείου Διοικητικής Μεταρρύθμισης και Ηλεκτρονικής Διακυβέρνησης «Συγκρότηση συλλογικών οργάνων της διοίκησης και ορισμός των μελών τους με κλήρωση» (άρθρο 26 του Ν.4024/2011), </w:t>
      </w:r>
    </w:p>
    <w:p w:rsidR="004803C6" w:rsidRDefault="004803C6" w:rsidP="00CE3E73">
      <w:pPr>
        <w:pStyle w:val="a3"/>
        <w:numPr>
          <w:ilvl w:val="0"/>
          <w:numId w:val="1"/>
        </w:numPr>
        <w:jc w:val="both"/>
      </w:pPr>
      <w:r>
        <w:t xml:space="preserve">Τις αριθ. ΔΙΣΚΠΟ/ Φ.18/ οικ.21508/4-11-2011 (ΦΕΚ/Β/2540/07-11-11), και ΔΙΣΚΠΟ/ Φ.18/ οικ.23243/ 23-11-2011 Εγκυκλίους του Υπουργείου Διοικητικής Μεταρρύθμισης και Ηλεκτρονικής Διακυβέρνησης «Διενέργεια της διαδικασίας κληρώσεως για τον ορισμό των μελών των συλλογικών οργάνων της διοίκησης για τη διεξαγωγή δημόσιων διαγωνισμών ή την ανάθεση ή την αξιολόγηση, παρακολούθηση, παραλαβή, προμηθειών, υπηρεσιών ή έργων», </w:t>
      </w:r>
    </w:p>
    <w:p w:rsidR="004803C6" w:rsidRDefault="004803C6" w:rsidP="00CE3E73">
      <w:pPr>
        <w:pStyle w:val="a3"/>
        <w:numPr>
          <w:ilvl w:val="0"/>
          <w:numId w:val="1"/>
        </w:numPr>
        <w:jc w:val="both"/>
      </w:pPr>
      <w:r>
        <w:t xml:space="preserve">Την αριθ. ΔΙΣΚΠΟ/Φ.18/οικ. 21700/19-09-2012 Εγκύκλιο του Υπουργείου Διοικητικής Μεταρρύθμισης και Ηλεκτρονικής Διακυβέρνησης «Εφαρμογή του άρθρου 26 του ν.4024/2011 «Συγκρότηση συλλογικών οργάνων της διοίκησης και ορισμός των μελών τους με κλήρωση»), </w:t>
      </w:r>
    </w:p>
    <w:p w:rsidR="0094465A" w:rsidRDefault="0081275E" w:rsidP="0094465A">
      <w:pPr>
        <w:pStyle w:val="a3"/>
        <w:numPr>
          <w:ilvl w:val="0"/>
          <w:numId w:val="1"/>
        </w:numPr>
        <w:jc w:val="both"/>
      </w:pPr>
      <w:r>
        <w:t>Τις διατάξεις των άρθρων</w:t>
      </w:r>
      <w:r w:rsidR="004803C6">
        <w:t xml:space="preserve"> </w:t>
      </w:r>
      <w:r w:rsidR="004F7BF4" w:rsidRPr="004F7BF4">
        <w:t>170 &amp; 172 του ν.4412/2016 «Δημόσιες συμβάσεις Έργων, Προμηθειών και Υπηρεσιών (προσαρμογή στις Οδηγίες 2014/24/ΕΕ και  2014/25/ΕΕ)»,</w:t>
      </w:r>
      <w:r w:rsidR="004803C6">
        <w:t xml:space="preserve">  και </w:t>
      </w:r>
    </w:p>
    <w:p w:rsidR="00D2775C" w:rsidRPr="00C42015" w:rsidRDefault="00C42015" w:rsidP="00C42015">
      <w:pPr>
        <w:pStyle w:val="a3"/>
        <w:numPr>
          <w:ilvl w:val="0"/>
          <w:numId w:val="1"/>
        </w:numPr>
        <w:rPr>
          <w:iCs/>
        </w:rPr>
      </w:pPr>
      <w:r w:rsidRPr="00C42015">
        <w:rPr>
          <w:iCs/>
        </w:rPr>
        <w:t>Την απόφαση με αριθμό 79(</w:t>
      </w:r>
      <w:proofErr w:type="spellStart"/>
      <w:r w:rsidRPr="00C42015">
        <w:rPr>
          <w:iCs/>
        </w:rPr>
        <w:t>επαν</w:t>
      </w:r>
      <w:proofErr w:type="spellEnd"/>
      <w:r w:rsidRPr="00C42015">
        <w:rPr>
          <w:iCs/>
        </w:rPr>
        <w:t>.)/05-09-2017 της έκτακτης συνεδρίασης της Συγκλήτου του Παν. Αιγαίου, που αφορά στην έγκριση του 2</w:t>
      </w:r>
      <w:r w:rsidRPr="00C42015">
        <w:rPr>
          <w:b/>
          <w:iCs/>
          <w:vertAlign w:val="superscript"/>
        </w:rPr>
        <w:t>ου</w:t>
      </w:r>
      <w:r w:rsidRPr="00C42015">
        <w:rPr>
          <w:b/>
          <w:iCs/>
        </w:rPr>
        <w:t xml:space="preserve"> </w:t>
      </w:r>
      <w:r w:rsidRPr="00C42015">
        <w:rPr>
          <w:iCs/>
        </w:rPr>
        <w:t>Πρακτικού του από 13-07-2017 Διαγωνισμού και την κατακύρωση του εν λόγω έργου,</w:t>
      </w:r>
      <w:r w:rsidRPr="00C42015">
        <w:rPr>
          <w:b/>
          <w:iCs/>
        </w:rPr>
        <w:t xml:space="preserve"> </w:t>
      </w:r>
      <w:r w:rsidRPr="00C42015">
        <w:rPr>
          <w:iCs/>
        </w:rPr>
        <w:t xml:space="preserve">στην Εργοληπτική Επιχείρηση </w:t>
      </w:r>
      <w:r w:rsidRPr="00C42015">
        <w:rPr>
          <w:b/>
          <w:iCs/>
        </w:rPr>
        <w:t>¨</w:t>
      </w:r>
      <w:r w:rsidRPr="00C42015">
        <w:rPr>
          <w:iCs/>
        </w:rPr>
        <w:t>ΕΥΘΥΜΙΟΥ ΠΑΡΗ &amp; ΣΙΑ Ε.Ε.</w:t>
      </w:r>
      <w:r w:rsidRPr="00C42015">
        <w:rPr>
          <w:b/>
          <w:iCs/>
        </w:rPr>
        <w:t>¨</w:t>
      </w:r>
      <w:r w:rsidRPr="00C42015">
        <w:rPr>
          <w:iCs/>
        </w:rPr>
        <w:t xml:space="preserve"> με προσφερόμενη μέση έκπτωση 59,42% και συνολική προσφορά 70.004,75 € με ΦΠΑ 24%.</w:t>
      </w:r>
    </w:p>
    <w:p w:rsidR="004803C6" w:rsidRPr="0094465A" w:rsidRDefault="004803C6" w:rsidP="0069516F">
      <w:pPr>
        <w:jc w:val="both"/>
      </w:pPr>
    </w:p>
    <w:p w:rsidR="003748E0" w:rsidRPr="0094465A" w:rsidRDefault="003748E0" w:rsidP="0069516F">
      <w:pPr>
        <w:jc w:val="both"/>
      </w:pPr>
    </w:p>
    <w:p w:rsidR="004803C6" w:rsidRPr="0057499B" w:rsidRDefault="004803C6" w:rsidP="0069516F">
      <w:pPr>
        <w:jc w:val="both"/>
        <w:rPr>
          <w:b/>
          <w:i/>
          <w:u w:val="single"/>
        </w:rPr>
      </w:pPr>
      <w:r w:rsidRPr="0057499B">
        <w:rPr>
          <w:b/>
          <w:i/>
          <w:u w:val="single"/>
        </w:rPr>
        <w:t xml:space="preserve">Γνωστοποιούμε  </w:t>
      </w:r>
    </w:p>
    <w:p w:rsidR="004803C6" w:rsidRDefault="004803C6" w:rsidP="0069516F">
      <w:pPr>
        <w:jc w:val="both"/>
      </w:pPr>
      <w:r>
        <w:t xml:space="preserve">ότι την </w:t>
      </w:r>
      <w:r w:rsidR="00C42015">
        <w:t>Τρίτη</w:t>
      </w:r>
      <w:r w:rsidR="00D2775C">
        <w:t xml:space="preserve"> </w:t>
      </w:r>
      <w:r w:rsidR="00FC3534">
        <w:t>0</w:t>
      </w:r>
      <w:r w:rsidR="00C42015">
        <w:t>2</w:t>
      </w:r>
      <w:r w:rsidRPr="00247A7C">
        <w:t>-</w:t>
      </w:r>
      <w:r w:rsidR="00D2775C">
        <w:t>10</w:t>
      </w:r>
      <w:r w:rsidRPr="00247A7C">
        <w:t>-201</w:t>
      </w:r>
      <w:r w:rsidR="004829AF">
        <w:t>8</w:t>
      </w:r>
      <w:r w:rsidRPr="00247A7C">
        <w:t>,</w:t>
      </w:r>
      <w:r>
        <w:t xml:space="preserve"> ώρα </w:t>
      </w:r>
      <w:r w:rsidR="008564EE">
        <w:t>09:30</w:t>
      </w:r>
      <w:r>
        <w:t xml:space="preserve"> π.μ. στα γραφεία της Κεντρικής Διεύθυνσης Τεχνικών Υπηρεσιών  (Κτίριο Διοίκησης, Λόφος Πανεπιστημίου, Μυτιλήνη) θα διενεργηθεί κλήρωση - μεταξύ όσων πληρούν τις προϋποθέσεις από το νόμο να συμμετέχουν στο εν λόγω συλλογικό όργανο, διαθέτουν τα απαραίτητα τυπικά προσόντα που πιστοποιούν απαραίτητες γνώσεις για να διεκπεραιώσουν το έργο, που θα τους ανατεθεί, στο πλαίσιο της λειτουργίας του εν λόγω συλλογικού οργάνου - για τον ορισμό μελών Επιτροπής </w:t>
      </w:r>
      <w:r w:rsidR="001510DA">
        <w:t xml:space="preserve">Προσωρινής και Οριστικής Παραλαβής των άρθρων </w:t>
      </w:r>
      <w:r w:rsidR="004829AF" w:rsidRPr="004829AF">
        <w:t>70 &amp; 172 του ν.4412/2016 «Δημόσιες συμβάσεις Έργων, Προμηθειών και Υπηρεσιών (προσαρμογή στις Οδηγίες 2014/24/ΕΕ και  2014/25/ΕΕ)»</w:t>
      </w:r>
      <w:r w:rsidR="004829AF">
        <w:t>.</w:t>
      </w:r>
    </w:p>
    <w:p w:rsidR="004803C6" w:rsidRDefault="004803C6" w:rsidP="00FC3534">
      <w:pPr>
        <w:jc w:val="both"/>
      </w:pPr>
      <w:r>
        <w:t>Η παρούσα γνωστοποίηση θα αναρτηθεί στην ιστοσελίδα του Πανεπιστημίου Αιγαίου</w:t>
      </w:r>
      <w:r w:rsidR="00655633">
        <w:t xml:space="preserve"> </w:t>
      </w:r>
      <w:hyperlink r:id="rId7" w:history="1">
        <w:r w:rsidR="00655633" w:rsidRPr="0019306C">
          <w:rPr>
            <w:rStyle w:val="-"/>
          </w:rPr>
          <w:t>http://www.aegean.gr/announcement/field_announcement_type/54</w:t>
        </w:r>
      </w:hyperlink>
      <w:r w:rsidR="00655633">
        <w:t>)</w:t>
      </w:r>
      <w:r>
        <w:t xml:space="preserve"> και θα τοιχοκολληθεί στον πίνακα ανακοινώσεων της Κεντρικής Διεύθυνσης Τεχνικών Υπηρεσιών (κτίριο Διοίκησης, Λόφος Πανεπιστημίου, Μυτιλήνη).</w:t>
      </w:r>
    </w:p>
    <w:p w:rsidR="00FC3534" w:rsidRPr="00FC3534" w:rsidRDefault="00FC3534" w:rsidP="00FC3534">
      <w:pPr>
        <w:jc w:val="both"/>
      </w:pPr>
    </w:p>
    <w:p w:rsidR="00D2775C" w:rsidRDefault="00E52AA9" w:rsidP="00CE3E73">
      <w:pPr>
        <w:pStyle w:val="Web"/>
        <w:jc w:val="center"/>
        <w:rPr>
          <w:rFonts w:ascii="Tahoma" w:hAnsi="Tahoma" w:cs="Tahoma"/>
          <w:b/>
          <w:bCs/>
          <w:i/>
          <w:sz w:val="20"/>
          <w:szCs w:val="20"/>
        </w:rPr>
      </w:pPr>
      <w:r>
        <w:rPr>
          <w:rFonts w:ascii="Tahoma" w:hAnsi="Tahoma" w:cs="Tahoma"/>
          <w:b/>
          <w:bCs/>
          <w:i/>
          <w:sz w:val="20"/>
          <w:szCs w:val="20"/>
        </w:rPr>
        <w:t>Ο</w:t>
      </w:r>
      <w:r w:rsidR="004803C6" w:rsidRPr="00CE3E73">
        <w:rPr>
          <w:rFonts w:ascii="Tahoma" w:hAnsi="Tahoma" w:cs="Tahoma"/>
          <w:b/>
          <w:bCs/>
          <w:i/>
          <w:sz w:val="20"/>
          <w:szCs w:val="20"/>
        </w:rPr>
        <w:t xml:space="preserve"> </w:t>
      </w:r>
      <w:r>
        <w:rPr>
          <w:rFonts w:ascii="Tahoma" w:hAnsi="Tahoma" w:cs="Tahoma"/>
          <w:b/>
          <w:bCs/>
          <w:i/>
          <w:sz w:val="20"/>
          <w:szCs w:val="20"/>
        </w:rPr>
        <w:t>Αν. Προϊστάμενος</w:t>
      </w:r>
      <w:r w:rsidR="004803C6">
        <w:rPr>
          <w:rFonts w:ascii="Tahoma" w:hAnsi="Tahoma" w:cs="Tahoma"/>
          <w:b/>
          <w:bCs/>
          <w:i/>
          <w:sz w:val="20"/>
          <w:szCs w:val="20"/>
        </w:rPr>
        <w:t xml:space="preserve"> </w:t>
      </w:r>
    </w:p>
    <w:p w:rsidR="004803C6" w:rsidRPr="00CE3E73" w:rsidRDefault="004803C6" w:rsidP="00CE3E73">
      <w:pPr>
        <w:pStyle w:val="Web"/>
        <w:jc w:val="center"/>
        <w:rPr>
          <w:rFonts w:ascii="Tahoma" w:hAnsi="Tahoma" w:cs="Tahoma"/>
          <w:b/>
          <w:i/>
          <w:sz w:val="20"/>
          <w:szCs w:val="20"/>
        </w:rPr>
      </w:pPr>
      <w:r>
        <w:rPr>
          <w:rFonts w:ascii="Tahoma" w:hAnsi="Tahoma" w:cs="Tahoma"/>
          <w:b/>
          <w:bCs/>
          <w:i/>
          <w:sz w:val="20"/>
          <w:szCs w:val="20"/>
        </w:rPr>
        <w:t>της</w:t>
      </w:r>
      <w:r w:rsidRPr="00CE3E73">
        <w:rPr>
          <w:rFonts w:ascii="Tahoma" w:hAnsi="Tahoma" w:cs="Tahoma"/>
          <w:b/>
          <w:bCs/>
          <w:i/>
          <w:sz w:val="20"/>
          <w:szCs w:val="20"/>
        </w:rPr>
        <w:t xml:space="preserve"> </w:t>
      </w:r>
      <w:r w:rsidRPr="00B45EE4">
        <w:rPr>
          <w:rFonts w:ascii="Tahoma" w:hAnsi="Tahoma" w:cs="Tahoma"/>
          <w:b/>
          <w:bCs/>
          <w:i/>
          <w:sz w:val="20"/>
          <w:szCs w:val="20"/>
        </w:rPr>
        <w:t>Κεντρικής Διεύθυνσης Τεχνικών Υπηρεσιών</w:t>
      </w:r>
    </w:p>
    <w:p w:rsidR="004803C6" w:rsidRPr="00CE3E73" w:rsidRDefault="004803C6" w:rsidP="00CE3E73">
      <w:pPr>
        <w:pStyle w:val="Web"/>
        <w:jc w:val="center"/>
        <w:rPr>
          <w:rFonts w:ascii="Tahoma" w:hAnsi="Tahoma" w:cs="Tahoma"/>
          <w:b/>
          <w:i/>
          <w:sz w:val="20"/>
          <w:szCs w:val="20"/>
        </w:rPr>
      </w:pPr>
    </w:p>
    <w:p w:rsidR="004803C6" w:rsidRDefault="003718C4" w:rsidP="00CE3E73">
      <w:pPr>
        <w:ind w:left="2160" w:firstLine="720"/>
        <w:jc w:val="both"/>
        <w:rPr>
          <w:rFonts w:ascii="Tahoma" w:hAnsi="Tahoma" w:cs="Tahoma"/>
          <w:b/>
          <w:i/>
          <w:sz w:val="20"/>
          <w:szCs w:val="20"/>
        </w:rPr>
      </w:pPr>
      <w:r>
        <w:rPr>
          <w:rFonts w:ascii="Tahoma" w:hAnsi="Tahoma" w:cs="Tahoma"/>
          <w:b/>
          <w:i/>
          <w:sz w:val="20"/>
          <w:szCs w:val="20"/>
        </w:rPr>
        <w:t>Γεώργιος Μάτσος</w:t>
      </w:r>
    </w:p>
    <w:p w:rsidR="004803C6" w:rsidRPr="00CE3E73" w:rsidRDefault="004803C6" w:rsidP="00B45EE4">
      <w:pPr>
        <w:ind w:left="1440" w:firstLine="720"/>
        <w:jc w:val="both"/>
        <w:rPr>
          <w:b/>
        </w:rPr>
      </w:pPr>
      <w:r>
        <w:rPr>
          <w:rFonts w:ascii="Tahoma" w:hAnsi="Tahoma" w:cs="Tahoma"/>
          <w:b/>
          <w:i/>
          <w:sz w:val="20"/>
          <w:szCs w:val="20"/>
        </w:rPr>
        <w:t xml:space="preserve">        </w:t>
      </w:r>
      <w:r w:rsidR="00E52AA9">
        <w:rPr>
          <w:rFonts w:ascii="Tahoma" w:hAnsi="Tahoma" w:cs="Tahoma"/>
          <w:b/>
          <w:i/>
          <w:sz w:val="20"/>
          <w:szCs w:val="20"/>
        </w:rPr>
        <w:t>Μηχανολόγος</w:t>
      </w:r>
      <w:r>
        <w:rPr>
          <w:rFonts w:ascii="Tahoma" w:hAnsi="Tahoma" w:cs="Tahoma"/>
          <w:b/>
          <w:i/>
          <w:sz w:val="20"/>
          <w:szCs w:val="20"/>
        </w:rPr>
        <w:t xml:space="preserve"> Μηχανικός</w:t>
      </w:r>
    </w:p>
    <w:sectPr w:rsidR="004803C6" w:rsidRPr="00CE3E73" w:rsidSect="00134B1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C6" w:rsidRDefault="004803C6" w:rsidP="00CE3E73">
      <w:pPr>
        <w:spacing w:after="0" w:line="240" w:lineRule="auto"/>
      </w:pPr>
      <w:r>
        <w:separator/>
      </w:r>
    </w:p>
  </w:endnote>
  <w:endnote w:type="continuationSeparator" w:id="0">
    <w:p w:rsidR="004803C6" w:rsidRDefault="004803C6" w:rsidP="00CE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C6" w:rsidRDefault="004803C6" w:rsidP="00CE3E73">
      <w:pPr>
        <w:spacing w:after="0" w:line="240" w:lineRule="auto"/>
      </w:pPr>
      <w:r>
        <w:separator/>
      </w:r>
    </w:p>
  </w:footnote>
  <w:footnote w:type="continuationSeparator" w:id="0">
    <w:p w:rsidR="004803C6" w:rsidRDefault="004803C6" w:rsidP="00CE3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C6" w:rsidRDefault="00EA7CFB" w:rsidP="00CE3E73">
    <w:pPr>
      <w:pStyle w:val="a4"/>
      <w:jc w:val="cent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Πανεπιστήμιο Αιγαίου (Γαλάζιο-Επίσημο-1200 dpi)" style="width:74.25pt;height:75pt;visibility:visible">
          <v:imagedata r:id="rId1" o:title=""/>
        </v:shape>
      </w:pict>
    </w:r>
  </w:p>
  <w:p w:rsidR="004803C6" w:rsidRPr="00A82B75" w:rsidRDefault="004803C6" w:rsidP="00CE3E73">
    <w:pPr>
      <w:jc w:val="center"/>
      <w:rPr>
        <w:rFonts w:ascii="Bookman Old Style" w:hAnsi="Bookman Old Style" w:cs="Tahoma"/>
        <w:b/>
        <w:sz w:val="28"/>
      </w:rPr>
    </w:pPr>
    <w:r w:rsidRPr="00A82B75">
      <w:rPr>
        <w:rFonts w:ascii="Bookman Old Style" w:hAnsi="Bookman Old Style" w:cs="Tahoma"/>
        <w:b/>
        <w:sz w:val="28"/>
      </w:rPr>
      <w:t>ΠΑΝΕΠΙΣΤΗΜΙΟ ΑΙΓΑΙΟΥ</w:t>
    </w:r>
  </w:p>
  <w:p w:rsidR="004803C6" w:rsidRDefault="004803C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E14"/>
    <w:multiLevelType w:val="hybridMultilevel"/>
    <w:tmpl w:val="2A461DF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113E2B87"/>
    <w:multiLevelType w:val="hybridMultilevel"/>
    <w:tmpl w:val="0A1C2F9C"/>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16F"/>
    <w:rsid w:val="00033961"/>
    <w:rsid w:val="00057E0A"/>
    <w:rsid w:val="000C50DF"/>
    <w:rsid w:val="00134B1B"/>
    <w:rsid w:val="00141B4F"/>
    <w:rsid w:val="001510DA"/>
    <w:rsid w:val="00152CCC"/>
    <w:rsid w:val="001F7EC0"/>
    <w:rsid w:val="00236D9E"/>
    <w:rsid w:val="00247A7C"/>
    <w:rsid w:val="002E11BC"/>
    <w:rsid w:val="00336B0D"/>
    <w:rsid w:val="003718C4"/>
    <w:rsid w:val="003748E0"/>
    <w:rsid w:val="004803C6"/>
    <w:rsid w:val="004829AF"/>
    <w:rsid w:val="004B71A9"/>
    <w:rsid w:val="004C19E1"/>
    <w:rsid w:val="004C1D63"/>
    <w:rsid w:val="004D1891"/>
    <w:rsid w:val="004F7BF4"/>
    <w:rsid w:val="0052407E"/>
    <w:rsid w:val="0057499B"/>
    <w:rsid w:val="005975CD"/>
    <w:rsid w:val="005F65A9"/>
    <w:rsid w:val="0064597A"/>
    <w:rsid w:val="00655633"/>
    <w:rsid w:val="0069516F"/>
    <w:rsid w:val="006B4EA9"/>
    <w:rsid w:val="007D3159"/>
    <w:rsid w:val="0081275E"/>
    <w:rsid w:val="00816B36"/>
    <w:rsid w:val="008564EE"/>
    <w:rsid w:val="008613D6"/>
    <w:rsid w:val="008A3A3D"/>
    <w:rsid w:val="008E0629"/>
    <w:rsid w:val="008F3B08"/>
    <w:rsid w:val="00905A9C"/>
    <w:rsid w:val="009111F2"/>
    <w:rsid w:val="009236A4"/>
    <w:rsid w:val="0094465A"/>
    <w:rsid w:val="00951007"/>
    <w:rsid w:val="009759EA"/>
    <w:rsid w:val="009A60A2"/>
    <w:rsid w:val="00A66C99"/>
    <w:rsid w:val="00A7191A"/>
    <w:rsid w:val="00A82B75"/>
    <w:rsid w:val="00A975C9"/>
    <w:rsid w:val="00AA1EF5"/>
    <w:rsid w:val="00AA218D"/>
    <w:rsid w:val="00AD614B"/>
    <w:rsid w:val="00B27CFD"/>
    <w:rsid w:val="00B45EE4"/>
    <w:rsid w:val="00B53354"/>
    <w:rsid w:val="00B86443"/>
    <w:rsid w:val="00BF33E0"/>
    <w:rsid w:val="00C42015"/>
    <w:rsid w:val="00C47DD2"/>
    <w:rsid w:val="00C530F7"/>
    <w:rsid w:val="00C76B11"/>
    <w:rsid w:val="00C95526"/>
    <w:rsid w:val="00CE3E73"/>
    <w:rsid w:val="00CE6599"/>
    <w:rsid w:val="00D2775C"/>
    <w:rsid w:val="00D465E4"/>
    <w:rsid w:val="00DA4117"/>
    <w:rsid w:val="00DC72EE"/>
    <w:rsid w:val="00DD2CAE"/>
    <w:rsid w:val="00E52AA9"/>
    <w:rsid w:val="00EA7CFB"/>
    <w:rsid w:val="00EE35B4"/>
    <w:rsid w:val="00F80682"/>
    <w:rsid w:val="00FC35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14:docId w14:val="2AC4D3B1"/>
  <w15:docId w15:val="{292CF944-2CFD-49EF-911B-1BF7A269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B1B"/>
    <w:pPr>
      <w:spacing w:after="160" w:line="259"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516F"/>
    <w:pPr>
      <w:ind w:left="720"/>
      <w:contextualSpacing/>
    </w:pPr>
  </w:style>
  <w:style w:type="paragraph" w:styleId="a4">
    <w:name w:val="header"/>
    <w:basedOn w:val="a"/>
    <w:link w:val="Char"/>
    <w:uiPriority w:val="99"/>
    <w:rsid w:val="00CE3E73"/>
    <w:pPr>
      <w:tabs>
        <w:tab w:val="center" w:pos="4153"/>
        <w:tab w:val="right" w:pos="8306"/>
      </w:tabs>
      <w:spacing w:after="0" w:line="240" w:lineRule="auto"/>
    </w:pPr>
  </w:style>
  <w:style w:type="character" w:customStyle="1" w:styleId="Char">
    <w:name w:val="Κεφαλίδα Char"/>
    <w:basedOn w:val="a0"/>
    <w:link w:val="a4"/>
    <w:uiPriority w:val="99"/>
    <w:locked/>
    <w:rsid w:val="00CE3E73"/>
    <w:rPr>
      <w:rFonts w:cs="Times New Roman"/>
    </w:rPr>
  </w:style>
  <w:style w:type="paragraph" w:styleId="a5">
    <w:name w:val="footer"/>
    <w:basedOn w:val="a"/>
    <w:link w:val="Char0"/>
    <w:uiPriority w:val="99"/>
    <w:rsid w:val="00CE3E73"/>
    <w:pPr>
      <w:tabs>
        <w:tab w:val="center" w:pos="4153"/>
        <w:tab w:val="right" w:pos="8306"/>
      </w:tabs>
      <w:spacing w:after="0" w:line="240" w:lineRule="auto"/>
    </w:pPr>
  </w:style>
  <w:style w:type="character" w:customStyle="1" w:styleId="Char0">
    <w:name w:val="Υποσέλιδο Char"/>
    <w:basedOn w:val="a0"/>
    <w:link w:val="a5"/>
    <w:uiPriority w:val="99"/>
    <w:locked/>
    <w:rsid w:val="00CE3E73"/>
    <w:rPr>
      <w:rFonts w:cs="Times New Roman"/>
    </w:rPr>
  </w:style>
  <w:style w:type="paragraph" w:styleId="Web">
    <w:name w:val="Normal (Web)"/>
    <w:basedOn w:val="a"/>
    <w:uiPriority w:val="99"/>
    <w:rsid w:val="00CE3E73"/>
    <w:pPr>
      <w:spacing w:before="100" w:beforeAutospacing="1" w:after="100" w:afterAutospacing="1" w:line="240" w:lineRule="auto"/>
    </w:pPr>
    <w:rPr>
      <w:rFonts w:ascii="Times New Roman" w:eastAsia="Times New Roman" w:hAnsi="Times New Roman"/>
      <w:sz w:val="24"/>
      <w:szCs w:val="24"/>
      <w:lang w:eastAsia="el-GR"/>
    </w:rPr>
  </w:style>
  <w:style w:type="paragraph" w:styleId="a6">
    <w:name w:val="Quote"/>
    <w:basedOn w:val="a"/>
    <w:next w:val="a"/>
    <w:link w:val="Char1"/>
    <w:uiPriority w:val="29"/>
    <w:qFormat/>
    <w:rsid w:val="00C42015"/>
    <w:pPr>
      <w:spacing w:before="200"/>
      <w:ind w:left="864" w:right="864"/>
      <w:jc w:val="center"/>
    </w:pPr>
    <w:rPr>
      <w:i/>
      <w:iCs/>
      <w:color w:val="404040" w:themeColor="text1" w:themeTint="BF"/>
    </w:rPr>
  </w:style>
  <w:style w:type="character" w:customStyle="1" w:styleId="Char1">
    <w:name w:val="Απόσπασμα Char"/>
    <w:basedOn w:val="a0"/>
    <w:link w:val="a6"/>
    <w:uiPriority w:val="29"/>
    <w:rsid w:val="00C42015"/>
    <w:rPr>
      <w:i/>
      <w:iCs/>
      <w:color w:val="404040" w:themeColor="text1" w:themeTint="BF"/>
      <w:lang w:eastAsia="en-US"/>
    </w:rPr>
  </w:style>
  <w:style w:type="character" w:styleId="-">
    <w:name w:val="Hyperlink"/>
    <w:basedOn w:val="a0"/>
    <w:uiPriority w:val="99"/>
    <w:unhideWhenUsed/>
    <w:rsid w:val="00C42015"/>
    <w:rPr>
      <w:color w:val="0000FF" w:themeColor="hyperlink"/>
      <w:u w:val="single"/>
    </w:rPr>
  </w:style>
  <w:style w:type="character" w:styleId="-0">
    <w:name w:val="FollowedHyperlink"/>
    <w:basedOn w:val="a0"/>
    <w:uiPriority w:val="99"/>
    <w:semiHidden/>
    <w:unhideWhenUsed/>
    <w:rsid w:val="00655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94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gean.gr/announcement/field_announcement_type/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537</Words>
  <Characters>2905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ΚΕΝΤΡΙΚΗ ΔΙΕΥΘΥΝΣΗ ΤΕΧΝΙΚΩΝ ΥΠΗΡΕΣΙΩΝ</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ΚΕΝΤΡΙΚΗ ΔΙΕΥΘΥΝΣΗ ΤΕΧΝΙΚΩΝ ΥΠΗΡΕΣΙΩΝ</dc:title>
  <dc:subject/>
  <dc:creator>Tsambarli Fereniki</dc:creator>
  <cp:keywords/>
  <dc:description/>
  <cp:lastModifiedBy>Kotzagiozis Ignatis</cp:lastModifiedBy>
  <cp:revision>36</cp:revision>
  <dcterms:created xsi:type="dcterms:W3CDTF">2013-08-29T04:59:00Z</dcterms:created>
  <dcterms:modified xsi:type="dcterms:W3CDTF">2018-09-28T05:23:00Z</dcterms:modified>
</cp:coreProperties>
</file>